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黑体" w:cs="Times New Roman"/>
          <w:b w:val="0"/>
          <w:bCs/>
          <w:color w:val="auto"/>
          <w:kern w:val="0"/>
          <w:sz w:val="32"/>
          <w:szCs w:val="32"/>
          <w:lang w:val="en-US" w:eastAsia="zh-CN"/>
        </w:rPr>
      </w:pPr>
      <w:r>
        <w:rPr>
          <w:rFonts w:hint="eastAsia" w:ascii="Times New Roman" w:hAnsi="Times New Roman" w:eastAsia="黑体" w:cs="Times New Roman"/>
          <w:b w:val="0"/>
          <w:bCs/>
          <w:color w:val="auto"/>
          <w:kern w:val="0"/>
          <w:sz w:val="32"/>
          <w:szCs w:val="32"/>
          <w:lang w:val="en-US" w:eastAsia="zh-CN"/>
        </w:rPr>
        <w:t>延庆区京津风沙源治理二期工程2020年项目</w:t>
      </w:r>
    </w:p>
    <w:p>
      <w:pPr>
        <w:jc w:val="center"/>
        <w:rPr>
          <w:rFonts w:hint="default" w:ascii="Times New Roman" w:hAnsi="Times New Roman" w:eastAsia="黑体" w:cs="Times New Roman"/>
          <w:b w:val="0"/>
          <w:bCs/>
          <w:kern w:val="0"/>
          <w:sz w:val="32"/>
          <w:szCs w:val="32"/>
          <w:lang w:val="en-US" w:eastAsia="zh-CN"/>
        </w:rPr>
      </w:pPr>
      <w:r>
        <w:rPr>
          <w:rFonts w:hint="default" w:ascii="Times New Roman" w:hAnsi="Times New Roman" w:eastAsia="黑体" w:cs="Times New Roman"/>
          <w:b w:val="0"/>
          <w:bCs/>
          <w:kern w:val="0"/>
          <w:sz w:val="32"/>
          <w:szCs w:val="32"/>
          <w:lang w:val="en-US" w:eastAsia="zh-CN"/>
        </w:rPr>
        <w:t>竣工环境保护验收意见</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2023年8月30日</w:t>
      </w:r>
      <w:r>
        <w:rPr>
          <w:rFonts w:hint="default" w:ascii="Times New Roman" w:hAnsi="Times New Roman" w:eastAsia="宋体" w:cs="Times New Roman"/>
          <w:b w:val="0"/>
          <w:bCs w:val="0"/>
          <w:color w:val="auto"/>
          <w:sz w:val="24"/>
          <w:szCs w:val="24"/>
          <w:highlight w:val="none"/>
          <w:lang w:val="en-US" w:eastAsia="zh-CN"/>
        </w:rPr>
        <w:t>，北京市延庆区协同发展服务中心（原北京市延庆区有机农产品发展中心）根据《建设项目竣工环境保护验收暂行办法》，严格依照国家有关法律法规、建设项目竣工环</w:t>
      </w:r>
      <w:r>
        <w:rPr>
          <w:rFonts w:hint="default" w:ascii="Times New Roman" w:hAnsi="Times New Roman" w:eastAsia="宋体" w:cs="Times New Roman"/>
          <w:b w:val="0"/>
          <w:bCs w:val="0"/>
          <w:sz w:val="24"/>
          <w:szCs w:val="24"/>
          <w:highlight w:val="none"/>
          <w:lang w:val="en-US" w:eastAsia="zh-CN"/>
        </w:rPr>
        <w:t>境保护验收技术规范、指南、</w:t>
      </w:r>
      <w:r>
        <w:rPr>
          <w:rFonts w:hint="default" w:ascii="Times New Roman" w:hAnsi="Times New Roman" w:eastAsia="宋体" w:cs="Times New Roman"/>
          <w:b w:val="0"/>
          <w:bCs w:val="0"/>
          <w:color w:val="auto"/>
          <w:sz w:val="24"/>
          <w:szCs w:val="24"/>
          <w:highlight w:val="none"/>
          <w:lang w:val="en-US" w:eastAsia="zh-CN"/>
        </w:rPr>
        <w:t>本项目环境影响报告表和审批</w:t>
      </w:r>
      <w:r>
        <w:rPr>
          <w:rFonts w:hint="default" w:ascii="Times New Roman" w:hAnsi="Times New Roman" w:eastAsia="宋体" w:cs="Times New Roman"/>
          <w:b w:val="0"/>
          <w:bCs w:val="0"/>
          <w:sz w:val="24"/>
          <w:szCs w:val="24"/>
          <w:highlight w:val="none"/>
          <w:lang w:val="en-US" w:eastAsia="zh-CN"/>
        </w:rPr>
        <w:t>部门审批决定等要求对本项目进行</w:t>
      </w:r>
      <w:r>
        <w:rPr>
          <w:rFonts w:hint="eastAsia" w:ascii="Times New Roman" w:hAnsi="Times New Roman" w:eastAsia="宋体" w:cs="Times New Roman"/>
          <w:b w:val="0"/>
          <w:bCs w:val="0"/>
          <w:sz w:val="24"/>
          <w:szCs w:val="24"/>
          <w:highlight w:val="none"/>
          <w:lang w:val="en-US" w:eastAsia="zh-CN"/>
        </w:rPr>
        <w:t>竣工环境保护</w:t>
      </w:r>
      <w:r>
        <w:rPr>
          <w:rFonts w:hint="default" w:ascii="Times New Roman" w:hAnsi="Times New Roman" w:eastAsia="宋体" w:cs="Times New Roman"/>
          <w:b w:val="0"/>
          <w:bCs w:val="0"/>
          <w:sz w:val="24"/>
          <w:szCs w:val="24"/>
          <w:highlight w:val="none"/>
          <w:lang w:val="en-US" w:eastAsia="zh-CN"/>
        </w:rPr>
        <w:t>验收，并成立验收</w:t>
      </w:r>
      <w:r>
        <w:rPr>
          <w:rFonts w:hint="default" w:ascii="Times New Roman" w:hAnsi="Times New Roman" w:eastAsia="宋体" w:cs="Times New Roman"/>
          <w:b w:val="0"/>
          <w:bCs w:val="0"/>
          <w:color w:val="auto"/>
          <w:sz w:val="24"/>
          <w:szCs w:val="24"/>
          <w:highlight w:val="none"/>
          <w:lang w:val="en-US" w:eastAsia="zh-CN"/>
        </w:rPr>
        <w:t>组。验收组由项目</w:t>
      </w:r>
      <w:r>
        <w:rPr>
          <w:rFonts w:hint="eastAsia" w:ascii="Times New Roman" w:hAnsi="Times New Roman" w:eastAsia="宋体" w:cs="Times New Roman"/>
          <w:b w:val="0"/>
          <w:bCs w:val="0"/>
          <w:color w:val="auto"/>
          <w:sz w:val="24"/>
          <w:szCs w:val="24"/>
          <w:highlight w:val="none"/>
          <w:lang w:val="en-US" w:eastAsia="zh-CN"/>
        </w:rPr>
        <w:t>组织实施</w:t>
      </w:r>
      <w:r>
        <w:rPr>
          <w:rFonts w:hint="default" w:ascii="Times New Roman" w:hAnsi="Times New Roman" w:eastAsia="宋体" w:cs="Times New Roman"/>
          <w:b w:val="0"/>
          <w:bCs w:val="0"/>
          <w:color w:val="auto"/>
          <w:sz w:val="24"/>
          <w:szCs w:val="24"/>
          <w:highlight w:val="none"/>
          <w:lang w:val="en-US" w:eastAsia="zh-CN"/>
        </w:rPr>
        <w:t>单位以及特邀3名专家组成（名单附后）。验收组核实了本项目主体工程及配套环境保护设施的建设与运行情况，经认真研究讨论形成如下验收意见：</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 xml:space="preserve">一、工程建设基本情况 </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val="en-US" w:eastAsia="zh-CN"/>
        </w:rPr>
        <w:t>（一）建设地点、规模、主要建设内容</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kern w:val="0"/>
          <w:highlight w:val="none"/>
          <w:lang w:val="en-US" w:eastAsia="zh-CN" w:bidi="ar"/>
        </w:rPr>
      </w:pPr>
      <w:r>
        <w:rPr>
          <w:rFonts w:hint="default" w:ascii="Times New Roman" w:hAnsi="Times New Roman" w:eastAsia="宋体" w:cs="Times New Roman"/>
          <w:kern w:val="0"/>
          <w:highlight w:val="none"/>
          <w:lang w:val="en-US" w:eastAsia="zh-CN" w:bidi="ar"/>
        </w:rPr>
        <w:t>项目名称：</w:t>
      </w:r>
      <w:r>
        <w:rPr>
          <w:rFonts w:hint="eastAsia" w:ascii="Times New Roman" w:hAnsi="Times New Roman" w:cs="Times New Roman"/>
          <w:color w:val="auto"/>
          <w:sz w:val="24"/>
          <w:szCs w:val="24"/>
          <w:highlight w:val="none"/>
          <w:lang w:eastAsia="zh-CN"/>
        </w:rPr>
        <w:t xml:space="preserve">延庆区京津风沙源治理二期工程2020年项目 </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kern w:val="0"/>
          <w:highlight w:val="none"/>
          <w:lang w:val="en-US" w:eastAsia="zh-CN" w:bidi="ar"/>
        </w:rPr>
        <w:t>组织实施</w:t>
      </w:r>
      <w:r>
        <w:rPr>
          <w:rFonts w:hint="default" w:ascii="Times New Roman" w:hAnsi="Times New Roman" w:eastAsia="宋体" w:cs="Times New Roman"/>
          <w:kern w:val="0"/>
          <w:highlight w:val="none"/>
          <w:lang w:val="en-US" w:eastAsia="zh-CN" w:bidi="ar"/>
        </w:rPr>
        <w:t>单位：</w:t>
      </w:r>
      <w:r>
        <w:rPr>
          <w:rFonts w:hint="default" w:ascii="Times New Roman" w:hAnsi="Times New Roman" w:eastAsia="宋体" w:cs="Times New Roman"/>
          <w:b w:val="0"/>
          <w:bCs w:val="0"/>
          <w:color w:val="auto"/>
          <w:sz w:val="24"/>
          <w:szCs w:val="24"/>
          <w:highlight w:val="none"/>
          <w:lang w:val="en-US" w:eastAsia="zh-CN"/>
        </w:rPr>
        <w:t>北京市延庆区协同发展服务中心</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kern w:val="0"/>
          <w:lang w:val="en-US" w:eastAsia="zh-CN" w:bidi="ar"/>
        </w:rPr>
      </w:pPr>
      <w:r>
        <w:rPr>
          <w:rFonts w:hint="default" w:ascii="Times New Roman" w:hAnsi="Times New Roman" w:eastAsia="宋体" w:cs="Times New Roman"/>
          <w:kern w:val="0"/>
          <w:lang w:val="en-US" w:eastAsia="zh-CN" w:bidi="ar"/>
        </w:rPr>
        <w:t>建设地点：北京市延庆区四海镇、千家店镇</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Calibri" w:cs="Times New Roman"/>
          <w:color w:val="auto"/>
          <w:lang w:val="en-US" w:eastAsia="zh-CN"/>
        </w:rPr>
      </w:pPr>
      <w:r>
        <w:rPr>
          <w:rFonts w:hint="default" w:ascii="Times New Roman" w:hAnsi="Times New Roman" w:eastAsia="Calibri" w:cs="Times New Roman"/>
          <w:lang w:val="en-US" w:eastAsia="zh-CN"/>
        </w:rPr>
        <w:t>建设性质</w:t>
      </w:r>
      <w:r>
        <w:rPr>
          <w:rFonts w:hint="default" w:ascii="Times New Roman" w:hAnsi="Times New Roman" w:eastAsia="Calibri" w:cs="Times New Roman"/>
          <w:color w:val="auto"/>
          <w:lang w:val="en-US" w:eastAsia="zh-CN"/>
        </w:rPr>
        <w:t>：</w:t>
      </w:r>
      <w:r>
        <w:rPr>
          <w:rFonts w:hint="eastAsia" w:ascii="Times New Roman" w:hAnsi="Times New Roman" w:cs="Times New Roman"/>
          <w:color w:val="auto"/>
          <w:lang w:val="en-US" w:eastAsia="zh-CN"/>
        </w:rPr>
        <w:t>新建</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color w:val="auto"/>
          <w:kern w:val="0"/>
          <w:lang w:val="en-US" w:eastAsia="zh-CN" w:bidi="ar"/>
        </w:rPr>
      </w:pPr>
      <w:r>
        <w:rPr>
          <w:rFonts w:hint="default" w:ascii="Times New Roman" w:hAnsi="Times New Roman" w:eastAsia="宋体" w:cs="Times New Roman"/>
          <w:b w:val="0"/>
          <w:bCs w:val="0"/>
          <w:color w:val="auto"/>
          <w:sz w:val="24"/>
          <w:szCs w:val="24"/>
          <w:lang w:val="en-US" w:eastAsia="zh-CN"/>
        </w:rPr>
        <w:t>北京市延庆区协同发展服务中心</w:t>
      </w:r>
      <w:r>
        <w:rPr>
          <w:rFonts w:hint="eastAsia" w:ascii="Times New Roman" w:hAnsi="Times New Roman" w:eastAsia="宋体" w:cs="Times New Roman"/>
          <w:b w:val="0"/>
          <w:bCs w:val="0"/>
          <w:color w:val="auto"/>
          <w:sz w:val="24"/>
          <w:szCs w:val="24"/>
          <w:lang w:val="en-US" w:eastAsia="zh-CN"/>
        </w:rPr>
        <w:t>是</w:t>
      </w:r>
      <w:r>
        <w:rPr>
          <w:rFonts w:hint="default" w:ascii="Times New Roman" w:hAnsi="Times New Roman" w:eastAsia="宋体" w:cs="Times New Roman"/>
          <w:color w:val="auto"/>
          <w:kern w:val="0"/>
          <w:lang w:val="en-US" w:eastAsia="zh-CN" w:bidi="ar"/>
        </w:rPr>
        <w:t>北京市</w:t>
      </w:r>
      <w:r>
        <w:rPr>
          <w:rFonts w:hint="default" w:ascii="Times New Roman" w:hAnsi="Times New Roman" w:eastAsia="宋体" w:cs="Times New Roman"/>
          <w:b w:val="0"/>
          <w:bCs w:val="0"/>
          <w:color w:val="auto"/>
          <w:sz w:val="24"/>
          <w:szCs w:val="24"/>
          <w:lang w:val="en-US" w:eastAsia="zh-CN"/>
        </w:rPr>
        <w:t>延庆区</w:t>
      </w:r>
      <w:r>
        <w:rPr>
          <w:rFonts w:hint="eastAsia" w:ascii="Times New Roman" w:hAnsi="Times New Roman" w:eastAsia="宋体" w:cs="Times New Roman"/>
          <w:b w:val="0"/>
          <w:bCs w:val="0"/>
          <w:color w:val="auto"/>
          <w:sz w:val="24"/>
          <w:szCs w:val="24"/>
          <w:lang w:val="en-US" w:eastAsia="zh-CN"/>
        </w:rPr>
        <w:t>改展改革委所属</w:t>
      </w:r>
      <w:r>
        <w:rPr>
          <w:rFonts w:hint="eastAsia" w:ascii="Times New Roman" w:hAnsi="Times New Roman" w:eastAsia="宋体" w:cs="Times New Roman"/>
          <w:color w:val="auto"/>
          <w:kern w:val="0"/>
          <w:lang w:val="en-US" w:eastAsia="zh-CN" w:bidi="ar"/>
        </w:rPr>
        <w:t>事业单位</w:t>
      </w:r>
      <w:r>
        <w:rPr>
          <w:rFonts w:hint="default" w:ascii="Times New Roman" w:hAnsi="Times New Roman" w:eastAsia="宋体" w:cs="Times New Roman"/>
          <w:color w:val="auto"/>
          <w:kern w:val="0"/>
          <w:lang w:val="en-US" w:eastAsia="zh-CN" w:bidi="ar"/>
        </w:rPr>
        <w:t>，</w:t>
      </w:r>
      <w:r>
        <w:rPr>
          <w:rFonts w:hint="eastAsia" w:ascii="Times New Roman" w:hAnsi="Times New Roman" w:eastAsia="宋体" w:cs="Times New Roman"/>
          <w:color w:val="auto"/>
          <w:kern w:val="0"/>
          <w:lang w:val="en-US" w:eastAsia="zh-CN" w:bidi="ar"/>
        </w:rPr>
        <w:t>负责组织实施</w:t>
      </w:r>
      <w:r>
        <w:rPr>
          <w:rFonts w:hint="eastAsia" w:ascii="Times New Roman" w:hAnsi="Times New Roman" w:cs="Times New Roman"/>
          <w:color w:val="auto"/>
          <w:sz w:val="24"/>
          <w:szCs w:val="24"/>
          <w:lang w:eastAsia="zh-CN"/>
        </w:rPr>
        <w:t>京津风沙源治理工程</w:t>
      </w:r>
      <w:r>
        <w:rPr>
          <w:rFonts w:hint="default" w:ascii="Times New Roman" w:hAnsi="Times New Roman" w:eastAsia="宋体" w:cs="Times New Roman"/>
          <w:color w:val="auto"/>
          <w:kern w:val="0"/>
          <w:lang w:val="en-US" w:eastAsia="zh-CN" w:bidi="ar"/>
        </w:rPr>
        <w:t>。根据</w:t>
      </w:r>
      <w:r>
        <w:rPr>
          <w:rFonts w:hint="eastAsia" w:ascii="Times New Roman" w:hAnsi="Times New Roman" w:eastAsia="宋体" w:cs="Times New Roman"/>
          <w:color w:val="auto"/>
          <w:kern w:val="0"/>
          <w:lang w:val="en-US" w:eastAsia="zh-CN" w:bidi="ar"/>
        </w:rPr>
        <w:t>《</w:t>
      </w:r>
      <w:r>
        <w:rPr>
          <w:rFonts w:hint="eastAsia" w:ascii="Times New Roman" w:hAnsi="Times New Roman" w:cs="Times New Roman"/>
          <w:color w:val="auto"/>
          <w:sz w:val="24"/>
          <w:szCs w:val="24"/>
          <w:lang w:eastAsia="zh-CN"/>
        </w:rPr>
        <w:t>延庆区京津风沙源治理二期工程2020年项目实施方案</w:t>
      </w:r>
      <w:r>
        <w:rPr>
          <w:rFonts w:hint="eastAsia" w:ascii="Times New Roman" w:hAnsi="Times New Roman" w:eastAsia="宋体" w:cs="Times New Roman"/>
          <w:color w:val="auto"/>
          <w:sz w:val="24"/>
          <w:szCs w:val="24"/>
          <w:lang w:eastAsia="zh-CN"/>
        </w:rPr>
        <w:t>》</w:t>
      </w:r>
      <w:r>
        <w:rPr>
          <w:rFonts w:hint="eastAsia" w:ascii="Times New Roman" w:hAnsi="Times New Roman" w:cs="Times New Roman"/>
          <w:color w:val="auto"/>
          <w:sz w:val="24"/>
          <w:szCs w:val="24"/>
          <w:lang w:eastAsia="zh-CN"/>
        </w:rPr>
        <w:t xml:space="preserve"> 批复</w:t>
      </w:r>
      <w:r>
        <w:rPr>
          <w:rFonts w:hint="default" w:ascii="Times New Roman" w:hAnsi="Times New Roman" w:eastAsia="宋体" w:cs="Times New Roman"/>
          <w:color w:val="auto"/>
          <w:kern w:val="0"/>
          <w:lang w:val="en-US" w:eastAsia="zh-CN" w:bidi="ar"/>
        </w:rPr>
        <w:t>，</w:t>
      </w:r>
      <w:r>
        <w:rPr>
          <w:rFonts w:hint="eastAsia" w:ascii="Times New Roman" w:hAnsi="Times New Roman" w:eastAsia="宋体" w:cs="Times New Roman"/>
          <w:color w:val="auto"/>
          <w:kern w:val="0"/>
          <w:lang w:val="en-US" w:eastAsia="zh-CN" w:bidi="ar"/>
        </w:rPr>
        <w:t>工程</w:t>
      </w:r>
      <w:r>
        <w:rPr>
          <w:rFonts w:hint="default" w:ascii="Times New Roman" w:hAnsi="Times New Roman" w:eastAsia="宋体" w:cs="Times New Roman"/>
          <w:color w:val="auto"/>
          <w:kern w:val="0"/>
          <w:lang w:val="en-US" w:eastAsia="zh-CN" w:bidi="ar"/>
        </w:rPr>
        <w:t>投资2655.25</w:t>
      </w:r>
      <w:r>
        <w:rPr>
          <w:rFonts w:hint="eastAsia" w:ascii="Times New Roman" w:hAnsi="Times New Roman" w:eastAsia="宋体" w:cs="Times New Roman"/>
          <w:color w:val="auto"/>
          <w:kern w:val="0"/>
          <w:lang w:val="en-US" w:eastAsia="zh-CN" w:bidi="ar"/>
        </w:rPr>
        <w:t>万元，地点位于</w:t>
      </w:r>
      <w:r>
        <w:rPr>
          <w:rFonts w:hint="eastAsia" w:ascii="Times New Roman" w:hAnsi="Times New Roman" w:cs="Times New Roman"/>
          <w:color w:val="auto"/>
          <w:sz w:val="24"/>
          <w:szCs w:val="24"/>
          <w:lang w:eastAsia="zh-CN"/>
        </w:rPr>
        <w:t>延庆区四海镇、千家店镇。</w:t>
      </w:r>
      <w:r>
        <w:rPr>
          <w:rFonts w:hint="default" w:ascii="Times New Roman" w:hAnsi="Times New Roman" w:eastAsia="宋体" w:cs="Times New Roman"/>
          <w:color w:val="auto"/>
          <w:kern w:val="0"/>
          <w:lang w:val="en-US" w:eastAsia="zh-CN" w:bidi="ar"/>
        </w:rPr>
        <w:t>本项目属于</w:t>
      </w:r>
      <w:r>
        <w:rPr>
          <w:rFonts w:hint="eastAsia" w:ascii="Times New Roman" w:hAnsi="Times New Roman" w:eastAsia="宋体" w:cs="Times New Roman"/>
          <w:color w:val="auto"/>
          <w:kern w:val="0"/>
          <w:lang w:val="en-US" w:eastAsia="zh-CN" w:bidi="ar"/>
        </w:rPr>
        <w:t>新建</w:t>
      </w:r>
      <w:r>
        <w:rPr>
          <w:rFonts w:hint="default" w:ascii="Times New Roman" w:hAnsi="Times New Roman" w:eastAsia="宋体" w:cs="Times New Roman"/>
          <w:color w:val="auto"/>
          <w:kern w:val="0"/>
          <w:lang w:val="en-US" w:eastAsia="zh-CN" w:bidi="ar"/>
        </w:rPr>
        <w:t>项目。</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（二）建设过程及环保审批情况</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color w:val="auto"/>
          <w:kern w:val="0"/>
          <w:lang w:val="en-US" w:eastAsia="zh-CN" w:bidi="ar"/>
        </w:rPr>
      </w:pPr>
      <w:r>
        <w:rPr>
          <w:rFonts w:hint="eastAsia" w:ascii="Times New Roman" w:hAnsi="Times New Roman" w:eastAsia="宋体" w:cs="Times New Roman"/>
          <w:color w:val="auto"/>
          <w:sz w:val="24"/>
          <w:szCs w:val="24"/>
          <w:lang w:eastAsia="zh-CN"/>
        </w:rPr>
        <w:t>北京市延庆区协同发展服务中心（原北京市延庆区有机农产品发展中心）</w:t>
      </w:r>
      <w:r>
        <w:rPr>
          <w:rFonts w:hint="default" w:ascii="Times New Roman" w:hAnsi="Times New Roman" w:eastAsia="宋体" w:cs="Times New Roman"/>
          <w:color w:val="auto"/>
          <w:kern w:val="0"/>
          <w:lang w:val="en-US" w:eastAsia="zh-CN" w:bidi="ar"/>
        </w:rPr>
        <w:t>于</w:t>
      </w:r>
      <w:r>
        <w:rPr>
          <w:rFonts w:hint="eastAsia" w:ascii="Times New Roman" w:hAnsi="Times New Roman" w:eastAsia="宋体" w:cs="Times New Roman"/>
          <w:color w:val="auto"/>
          <w:kern w:val="0"/>
          <w:lang w:val="en-US" w:eastAsia="zh-CN" w:bidi="ar"/>
        </w:rPr>
        <w:t>2020年6月</w:t>
      </w:r>
      <w:r>
        <w:rPr>
          <w:rFonts w:hint="default" w:ascii="Times New Roman" w:hAnsi="Times New Roman" w:eastAsia="宋体" w:cs="Times New Roman"/>
          <w:color w:val="auto"/>
          <w:kern w:val="0"/>
          <w:lang w:val="en-US" w:eastAsia="zh-CN" w:bidi="ar"/>
        </w:rPr>
        <w:t>委托</w:t>
      </w:r>
      <w:r>
        <w:t>北京市劳保所科技发展有限责任公</w:t>
      </w:r>
      <w:r>
        <w:rPr>
          <w:spacing w:val="-1"/>
        </w:rPr>
        <w:t>司</w:t>
      </w:r>
      <w:r>
        <w:rPr>
          <w:rFonts w:hint="default" w:ascii="Times New Roman" w:hAnsi="Times New Roman" w:eastAsia="宋体" w:cs="Times New Roman"/>
          <w:color w:val="auto"/>
          <w:kern w:val="0"/>
          <w:lang w:val="en-US" w:eastAsia="zh-CN" w:bidi="ar"/>
        </w:rPr>
        <w:t>编制《</w:t>
      </w:r>
      <w:r>
        <w:rPr>
          <w:spacing w:val="-1"/>
        </w:rPr>
        <w:t>延庆区京津风沙源治理二期工程</w:t>
      </w:r>
      <w:r>
        <w:rPr>
          <w:spacing w:val="-50"/>
        </w:rPr>
        <w:t xml:space="preserve"> </w:t>
      </w:r>
      <w:r>
        <w:rPr>
          <w:rFonts w:ascii="Times New Roman" w:hAnsi="Times New Roman" w:eastAsia="Times New Roman" w:cs="Times New Roman"/>
          <w:spacing w:val="-1"/>
        </w:rPr>
        <w:t>2020</w:t>
      </w:r>
      <w:r>
        <w:rPr>
          <w:spacing w:val="-1"/>
        </w:rPr>
        <w:t>年项目</w:t>
      </w:r>
      <w:r>
        <w:rPr>
          <w:rFonts w:hint="default" w:ascii="Times New Roman" w:hAnsi="Times New Roman" w:eastAsia="宋体" w:cs="Times New Roman"/>
          <w:color w:val="auto"/>
          <w:kern w:val="0"/>
          <w:lang w:val="en-US" w:eastAsia="zh-CN" w:bidi="ar"/>
        </w:rPr>
        <w:t>环境影响报告表》；并于</w:t>
      </w:r>
      <w:r>
        <w:rPr>
          <w:rFonts w:hint="eastAsia" w:ascii="Times New Roman" w:hAnsi="Times New Roman" w:eastAsia="宋体" w:cs="Times New Roman"/>
          <w:color w:val="auto"/>
          <w:kern w:val="0"/>
          <w:lang w:val="en-US" w:eastAsia="zh-CN" w:bidi="ar"/>
        </w:rPr>
        <w:t>2020年7月</w:t>
      </w:r>
      <w:r>
        <w:rPr>
          <w:rFonts w:hint="default" w:ascii="Times New Roman" w:hAnsi="Times New Roman" w:eastAsia="宋体" w:cs="Times New Roman"/>
          <w:color w:val="auto"/>
          <w:kern w:val="0"/>
          <w:lang w:val="en-US" w:eastAsia="zh-CN" w:bidi="ar"/>
        </w:rPr>
        <w:t>取得</w:t>
      </w:r>
      <w:r>
        <w:rPr>
          <w:rFonts w:hint="eastAsia"/>
          <w:color w:val="auto"/>
          <w:highlight w:val="none"/>
          <w:lang w:eastAsia="zh-CN"/>
        </w:rPr>
        <w:t>北京市延庆区生态环境局关于</w:t>
      </w:r>
      <w:r>
        <w:rPr>
          <w:rFonts w:hint="eastAsia" w:ascii="Times New Roman" w:hAnsi="Times New Roman" w:cs="Times New Roman"/>
          <w:color w:val="auto"/>
          <w:sz w:val="24"/>
          <w:szCs w:val="24"/>
          <w:lang w:eastAsia="zh-CN"/>
        </w:rPr>
        <w:t>延庆区京津风沙源治理二期工程2020年项目</w:t>
      </w:r>
      <w:r>
        <w:rPr>
          <w:rFonts w:hint="eastAsia"/>
          <w:color w:val="auto"/>
          <w:highlight w:val="none"/>
          <w:lang w:eastAsia="zh-CN"/>
        </w:rPr>
        <w:t>环境影响报告</w:t>
      </w:r>
      <w:r>
        <w:rPr>
          <w:rFonts w:hint="eastAsia" w:ascii="Times New Roman" w:hAnsi="Times New Roman" w:eastAsia="宋体" w:cs="Times New Roman"/>
          <w:color w:val="auto"/>
          <w:kern w:val="0"/>
          <w:lang w:val="en-US" w:eastAsia="zh-CN" w:bidi="ar"/>
        </w:rPr>
        <w:t>表的批复</w:t>
      </w:r>
      <w:r>
        <w:rPr>
          <w:rFonts w:hint="eastAsia" w:ascii="Times New Roman" w:hAnsi="Times New Roman" w:cs="Times New Roman"/>
          <w:color w:val="auto"/>
          <w:sz w:val="24"/>
          <w:szCs w:val="24"/>
          <w:lang w:eastAsia="zh-CN"/>
        </w:rPr>
        <w:t>延环审字〔2020〕0016号</w:t>
      </w:r>
      <w:r>
        <w:rPr>
          <w:rFonts w:hint="default" w:ascii="Times New Roman" w:hAnsi="Times New Roman" w:eastAsia="宋体" w:cs="Times New Roman"/>
          <w:color w:val="auto"/>
          <w:kern w:val="0"/>
          <w:lang w:val="en-US" w:eastAsia="zh-CN" w:bidi="ar"/>
        </w:rPr>
        <w:t>。</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76" w:firstLineChars="200"/>
        <w:jc w:val="left"/>
        <w:textAlignment w:val="auto"/>
        <w:rPr>
          <w:rFonts w:hint="default" w:ascii="Times New Roman" w:hAnsi="Times New Roman" w:eastAsia="宋体" w:cs="Times New Roman"/>
          <w:color w:val="auto"/>
          <w:kern w:val="0"/>
          <w:lang w:val="en-US" w:eastAsia="zh-CN" w:bidi="ar"/>
        </w:rPr>
      </w:pPr>
      <w:r>
        <w:rPr>
          <w:spacing w:val="-1"/>
        </w:rPr>
        <w:t>延庆区京津风沙源治理二期工程</w:t>
      </w:r>
      <w:r>
        <w:rPr>
          <w:spacing w:val="-50"/>
        </w:rPr>
        <w:t xml:space="preserve"> </w:t>
      </w:r>
      <w:r>
        <w:rPr>
          <w:rFonts w:ascii="Times New Roman" w:hAnsi="Times New Roman" w:eastAsia="Times New Roman" w:cs="Times New Roman"/>
          <w:spacing w:val="-1"/>
        </w:rPr>
        <w:t>2020</w:t>
      </w:r>
      <w:r>
        <w:rPr>
          <w:spacing w:val="-1"/>
        </w:rPr>
        <w:t>年项目</w:t>
      </w:r>
      <w:r>
        <w:rPr>
          <w:rFonts w:hint="default" w:ascii="Times New Roman" w:hAnsi="Times New Roman" w:eastAsia="宋体" w:cs="Times New Roman"/>
          <w:kern w:val="0"/>
          <w:lang w:val="en-US" w:eastAsia="zh-CN" w:bidi="ar"/>
        </w:rPr>
        <w:t>的开工</w:t>
      </w:r>
      <w:r>
        <w:rPr>
          <w:rFonts w:hint="default" w:ascii="Times New Roman" w:hAnsi="Times New Roman" w:eastAsia="宋体" w:cs="Times New Roman"/>
          <w:color w:val="auto"/>
          <w:kern w:val="0"/>
          <w:lang w:val="en-US" w:eastAsia="zh-CN" w:bidi="ar"/>
        </w:rPr>
        <w:t>时间为</w:t>
      </w:r>
      <w:r>
        <w:rPr>
          <w:rFonts w:hint="eastAsia" w:ascii="Times New Roman" w:hAnsi="Times New Roman" w:eastAsia="宋体" w:cs="Times New Roman"/>
          <w:color w:val="auto"/>
          <w:kern w:val="0"/>
          <w:lang w:val="en-US" w:eastAsia="zh-CN" w:bidi="ar"/>
        </w:rPr>
        <w:t>2020年8月28日</w:t>
      </w:r>
      <w:r>
        <w:rPr>
          <w:rFonts w:hint="default" w:ascii="Times New Roman" w:hAnsi="Times New Roman" w:eastAsia="宋体" w:cs="Times New Roman"/>
          <w:color w:val="auto"/>
          <w:kern w:val="0"/>
          <w:lang w:val="en-US" w:eastAsia="zh-CN" w:bidi="ar"/>
        </w:rPr>
        <w:t>；主体工程及环境保护工程的</w:t>
      </w:r>
      <w:r>
        <w:rPr>
          <w:rFonts w:hint="eastAsia" w:ascii="Times New Roman" w:hAnsi="Times New Roman" w:eastAsia="宋体" w:cs="Times New Roman"/>
          <w:color w:val="auto"/>
          <w:kern w:val="0"/>
          <w:lang w:val="en-US" w:eastAsia="zh-CN" w:bidi="ar"/>
        </w:rPr>
        <w:t>完</w:t>
      </w:r>
      <w:r>
        <w:rPr>
          <w:rFonts w:hint="default" w:ascii="Times New Roman" w:hAnsi="Times New Roman" w:eastAsia="宋体" w:cs="Times New Roman"/>
          <w:color w:val="auto"/>
          <w:kern w:val="0"/>
          <w:lang w:val="en-US" w:eastAsia="zh-CN" w:bidi="ar"/>
        </w:rPr>
        <w:t>工时间为</w:t>
      </w:r>
      <w:r>
        <w:rPr>
          <w:rFonts w:hint="eastAsia" w:ascii="Times New Roman" w:hAnsi="Times New Roman" w:eastAsia="宋体" w:cs="Times New Roman"/>
          <w:color w:val="auto"/>
          <w:kern w:val="0"/>
          <w:lang w:val="en-US" w:eastAsia="zh-CN" w:bidi="ar"/>
        </w:rPr>
        <w:t>2022年8月21日</w:t>
      </w:r>
      <w:r>
        <w:rPr>
          <w:rFonts w:hint="default" w:ascii="Times New Roman" w:hAnsi="Times New Roman" w:eastAsia="宋体" w:cs="Times New Roman"/>
          <w:color w:val="auto"/>
          <w:kern w:val="0"/>
          <w:lang w:val="en-US" w:eastAsia="zh-CN" w:bidi="ar"/>
        </w:rPr>
        <w:t>。</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 xml:space="preserve">（三）投资情况 </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本</w:t>
      </w:r>
      <w:r>
        <w:rPr>
          <w:rFonts w:hint="default" w:ascii="Times New Roman" w:hAnsi="Times New Roman" w:eastAsia="宋体" w:cs="Times New Roman"/>
          <w:b w:val="0"/>
          <w:bCs w:val="0"/>
          <w:color w:val="auto"/>
          <w:sz w:val="24"/>
          <w:szCs w:val="24"/>
          <w:lang w:val="en-US" w:eastAsia="zh-CN"/>
        </w:rPr>
        <w:t>项目实际总投资</w:t>
      </w:r>
      <w:r>
        <w:rPr>
          <w:rFonts w:hint="eastAsia" w:ascii="Times New Roman" w:hAnsi="Times New Roman" w:cs="Times New Roman"/>
          <w:color w:val="auto"/>
          <w:sz w:val="24"/>
          <w:szCs w:val="24"/>
          <w:highlight w:val="none"/>
          <w:lang w:val="en-US" w:eastAsia="zh-CN"/>
        </w:rPr>
        <w:t xml:space="preserve"> 2438.52</w:t>
      </w:r>
      <w:r>
        <w:rPr>
          <w:rFonts w:hint="eastAsia" w:ascii="Times New Roman" w:hAnsi="Times New Roman" w:eastAsia="宋体" w:cs="Times New Roman"/>
          <w:b w:val="0"/>
          <w:bCs w:val="0"/>
          <w:color w:val="auto"/>
          <w:sz w:val="24"/>
          <w:szCs w:val="24"/>
          <w:highlight w:val="none"/>
          <w:lang w:val="en-US" w:eastAsia="zh-CN"/>
        </w:rPr>
        <w:t>万</w:t>
      </w:r>
      <w:r>
        <w:rPr>
          <w:rFonts w:hint="eastAsia" w:ascii="Times New Roman" w:hAnsi="Times New Roman" w:eastAsia="宋体" w:cs="Times New Roman"/>
          <w:b w:val="0"/>
          <w:bCs w:val="0"/>
          <w:color w:val="auto"/>
          <w:sz w:val="24"/>
          <w:szCs w:val="24"/>
          <w:lang w:val="en-US" w:eastAsia="zh-CN"/>
        </w:rPr>
        <w:t>元</w:t>
      </w:r>
      <w:r>
        <w:rPr>
          <w:rFonts w:hint="default" w:ascii="Times New Roman" w:hAnsi="Times New Roman" w:eastAsia="宋体" w:cs="Times New Roman"/>
          <w:b w:val="0"/>
          <w:bCs w:val="0"/>
          <w:color w:val="auto"/>
          <w:sz w:val="24"/>
          <w:szCs w:val="24"/>
          <w:lang w:val="en-US" w:eastAsia="zh-CN"/>
        </w:rPr>
        <w:t>，环保投资为</w:t>
      </w:r>
      <w:r>
        <w:rPr>
          <w:rFonts w:hint="eastAsia" w:ascii="Times New Roman" w:hAnsi="Times New Roman" w:cs="Times New Roman"/>
          <w:color w:val="auto"/>
          <w:sz w:val="24"/>
          <w:szCs w:val="24"/>
          <w:lang w:val="en-US" w:eastAsia="zh-CN"/>
        </w:rPr>
        <w:t>50</w:t>
      </w:r>
      <w:r>
        <w:rPr>
          <w:rFonts w:hint="eastAsia" w:ascii="Times New Roman" w:hAnsi="Times New Roman" w:eastAsia="宋体" w:cs="Times New Roman"/>
          <w:b w:val="0"/>
          <w:bCs w:val="0"/>
          <w:color w:val="auto"/>
          <w:sz w:val="24"/>
          <w:szCs w:val="24"/>
          <w:lang w:val="en-US" w:eastAsia="zh-CN"/>
        </w:rPr>
        <w:t>万元</w:t>
      </w:r>
      <w:r>
        <w:rPr>
          <w:rFonts w:hint="default" w:ascii="Times New Roman" w:hAnsi="Times New Roman" w:eastAsia="宋体" w:cs="Times New Roman"/>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 xml:space="preserve">（四）验收范围 </w:t>
      </w:r>
      <w:bookmarkStart w:id="0" w:name="_GoBack"/>
      <w:bookmarkEnd w:id="0"/>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本次验收的范围为《</w:t>
      </w:r>
      <w:r>
        <w:rPr>
          <w:rFonts w:hint="eastAsia" w:ascii="Times New Roman" w:hAnsi="Times New Roman" w:cs="Times New Roman"/>
          <w:color w:val="auto"/>
          <w:sz w:val="24"/>
          <w:szCs w:val="24"/>
          <w:lang w:eastAsia="zh-CN"/>
        </w:rPr>
        <w:t>延庆区京津风沙源治理二期工程2020年项目</w:t>
      </w:r>
      <w:r>
        <w:rPr>
          <w:rFonts w:hint="default" w:ascii="Times New Roman" w:hAnsi="Times New Roman" w:eastAsia="宋体" w:cs="Times New Roman"/>
          <w:b w:val="0"/>
          <w:bCs w:val="0"/>
          <w:sz w:val="24"/>
          <w:szCs w:val="24"/>
          <w:lang w:val="en-US" w:eastAsia="zh-CN"/>
        </w:rPr>
        <w:t>》及批复文件的要求。</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二、工程变动情况</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sz w:val="24"/>
          <w:szCs w:val="24"/>
        </w:rPr>
        <w:t>根据《关于印发环评管理中部分行业建设项目重大变动清单的通知》（环办[2015]52号）</w:t>
      </w:r>
      <w:r>
        <w:rPr>
          <w:rFonts w:hint="default" w:ascii="Times New Roman" w:hAnsi="Times New Roman" w:cs="Times New Roman"/>
          <w:color w:val="auto"/>
          <w:sz w:val="24"/>
          <w:szCs w:val="24"/>
        </w:rPr>
        <w:t>，本项目建设性质、地点、内容、规模以及环保措施等内容未发生重大变化，本项目不涉及重大变动。</w:t>
      </w:r>
    </w:p>
    <w:p>
      <w:pPr>
        <w:spacing w:line="480" w:lineRule="exact"/>
        <w:ind w:firstLine="0" w:firstLineChars="0"/>
        <w:jc w:val="left"/>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三、环境保护设施建设情况</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1、</w:t>
      </w:r>
      <w:r>
        <w:rPr>
          <w:rFonts w:hint="default" w:ascii="Times New Roman" w:hAnsi="Times New Roman" w:eastAsia="宋体" w:cs="Times New Roman"/>
          <w:b w:val="0"/>
          <w:bCs w:val="0"/>
          <w:color w:val="auto"/>
          <w:sz w:val="24"/>
          <w:szCs w:val="24"/>
          <w:lang w:val="en-US" w:eastAsia="zh-CN"/>
        </w:rPr>
        <w:t>废气</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施工期产生的废气主要来源于</w:t>
      </w:r>
      <w:r>
        <w:rPr>
          <w:rFonts w:hint="eastAsia" w:ascii="Times New Roman" w:hAnsi="Times New Roman" w:eastAsia="宋体" w:cs="Times New Roman"/>
          <w:b w:val="0"/>
          <w:bCs w:val="0"/>
          <w:color w:val="auto"/>
          <w:sz w:val="24"/>
          <w:szCs w:val="24"/>
          <w:lang w:val="en-US" w:eastAsia="zh-CN"/>
        </w:rPr>
        <w:t>施工期的大气污染物主要为机械和车辆排放的尾气，施工扬尘、粉尘等</w:t>
      </w:r>
      <w:r>
        <w:rPr>
          <w:rFonts w:hint="default" w:ascii="Times New Roman" w:hAnsi="Times New Roman" w:eastAsia="宋体" w:cs="Times New Roman"/>
          <w:b w:val="0"/>
          <w:bCs w:val="0"/>
          <w:color w:val="auto"/>
          <w:sz w:val="24"/>
          <w:szCs w:val="24"/>
          <w:lang w:val="en-US" w:eastAsia="zh-CN"/>
        </w:rPr>
        <w:t>。</w:t>
      </w:r>
      <w:r>
        <w:rPr>
          <w:rFonts w:hint="eastAsia" w:ascii="Times New Roman" w:hAnsi="Times New Roman" w:eastAsia="宋体" w:cs="Times New Roman"/>
          <w:b w:val="0"/>
          <w:bCs w:val="0"/>
          <w:color w:val="auto"/>
          <w:sz w:val="24"/>
          <w:szCs w:val="24"/>
          <w:lang w:val="en-US" w:eastAsia="zh-CN"/>
        </w:rPr>
        <w:t>施工过程中，施工单位安排专人每天及时清扫和定时洒水，防止浮尘产生；施工现场对运输土方、渣土等散装货物的车辆车用苫布遮盖；施工便道进行硬化处理，汽车运送渣土、材料过程中，装载量低于槽帮15cm，效措施封盖，保持车辆清洁。采取使用清洁燃料、定期维护保养等措施，同时严格控制了施工机械扰动范围，限制行车速度。</w:t>
      </w:r>
      <w:r>
        <w:rPr>
          <w:rFonts w:hint="default" w:ascii="Times New Roman" w:hAnsi="Times New Roman" w:eastAsia="宋体" w:cs="Times New Roman"/>
          <w:b w:val="0"/>
          <w:bCs w:val="0"/>
          <w:color w:val="auto"/>
          <w:sz w:val="24"/>
          <w:szCs w:val="24"/>
          <w:lang w:val="en-US" w:eastAsia="zh-CN"/>
        </w:rPr>
        <w:t>由于整个工程施工线较长，单项工程较多，具体每个单项工程的排放量很小，且施工场地开阔，污染物扩散能力强，污染物浓度下降较快，工程结束后施工机械产生的废气对大气的影响自行消除，没有对当地大气环境产生较大不利影响。</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lang w:val="en-US" w:eastAsia="zh-CN"/>
        </w:rPr>
        <w:t>废水</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施工过程中产生的废水主要包括路面、土方、土地喷洒降尘水和混凝土养护水。混凝土养护废水经项目区沉淀池沉淀后，上清液用于工程洒水和绿化。 施工废水主要含泥砂，悬浮物浓度较高，经简易沉淀处理后将回用于施工场地抑尘，不外排。对水环境基本无影响。</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3、</w:t>
      </w:r>
      <w:r>
        <w:rPr>
          <w:rFonts w:hint="default" w:ascii="Times New Roman" w:hAnsi="Times New Roman" w:eastAsia="宋体" w:cs="Times New Roman"/>
          <w:b w:val="0"/>
          <w:bCs w:val="0"/>
          <w:color w:val="auto"/>
          <w:sz w:val="24"/>
          <w:szCs w:val="24"/>
          <w:lang w:val="en-US" w:eastAsia="zh-CN"/>
        </w:rPr>
        <w:t>噪声</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施工期的噪声主要有机械噪声、施工作业噪声和施工车辆噪声。</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项目施工期间，</w:t>
      </w:r>
      <w:r>
        <w:rPr>
          <w:rFonts w:hint="default" w:ascii="Times New Roman" w:hAnsi="Times New Roman" w:eastAsia="宋体" w:cs="Times New Roman"/>
          <w:b w:val="0"/>
          <w:bCs w:val="0"/>
          <w:color w:val="auto"/>
          <w:sz w:val="24"/>
          <w:szCs w:val="24"/>
          <w:lang w:val="en-US" w:eastAsia="zh-CN"/>
        </w:rPr>
        <w:t>施工单位合理安排施工作业时间，不在夜间施工；</w:t>
      </w:r>
      <w:r>
        <w:rPr>
          <w:rFonts w:hint="eastAsia" w:ascii="Times New Roman" w:hAnsi="Times New Roman" w:eastAsia="宋体" w:cs="Times New Roman"/>
          <w:b w:val="0"/>
          <w:bCs w:val="0"/>
          <w:color w:val="auto"/>
          <w:sz w:val="24"/>
          <w:szCs w:val="24"/>
          <w:lang w:val="en-US" w:eastAsia="zh-CN"/>
        </w:rPr>
        <w:t>设备选型采用压力式打桩机，其噪声可由100dB(A)降至75dB(A)左右，施工期间加强机械设备的维修和保养；合理安排施工现场、施工时间、运输路线，控制夜间施工噪声，22点后的施工会向周边居民公告。</w:t>
      </w:r>
      <w:r>
        <w:rPr>
          <w:rFonts w:hint="default" w:ascii="Times New Roman" w:hAnsi="Times New Roman" w:eastAsia="宋体" w:cs="Times New Roman"/>
          <w:b w:val="0"/>
          <w:bCs w:val="0"/>
          <w:color w:val="auto"/>
          <w:sz w:val="24"/>
          <w:szCs w:val="24"/>
          <w:lang w:val="en-US" w:eastAsia="zh-CN"/>
        </w:rPr>
        <w:t>本项目的环评报告及批复意见中规定的噪声污染防治措施得到严格落实施工过程中没有接到有关本项目的环保投诉。</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4、</w:t>
      </w:r>
      <w:r>
        <w:rPr>
          <w:rFonts w:hint="default" w:ascii="Times New Roman" w:hAnsi="Times New Roman" w:eastAsia="宋体" w:cs="Times New Roman"/>
          <w:b w:val="0"/>
          <w:bCs w:val="0"/>
          <w:color w:val="auto"/>
          <w:sz w:val="24"/>
          <w:szCs w:val="24"/>
          <w:lang w:val="en-US" w:eastAsia="zh-CN"/>
        </w:rPr>
        <w:t>固体废物</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本项目施工建设过程中，主要为施工过程产生的建筑材料，另有水利工程中沟道清理产生的固体废物，主要为农业作物以及植物落叶等，成份较简单。对施工期产生的可回收废料如钢筋弯头、废木板、包装袋进行回收利用；施工产生的土石方渣土必须采用袋装收集；清理后的固体废物和所在村镇其它建筑垃圾一起由当地环卫部门统一处理。通过采取措施后，施工期固体废物对周围环境无影响。</w:t>
      </w:r>
    </w:p>
    <w:p>
      <w:pPr>
        <w:spacing w:line="480" w:lineRule="exact"/>
        <w:ind w:firstLine="0" w:firstLineChars="0"/>
        <w:rPr>
          <w:rFonts w:hint="default" w:ascii="Times New Roman" w:hAnsi="Times New Roman" w:cs="Times New Roman"/>
          <w:b/>
          <w:color w:val="auto"/>
          <w:sz w:val="24"/>
          <w:szCs w:val="24"/>
          <w:lang w:val="en-US" w:eastAsia="zh-CN"/>
        </w:rPr>
      </w:pPr>
      <w:r>
        <w:rPr>
          <w:rFonts w:hint="default" w:ascii="Times New Roman" w:hAnsi="Times New Roman" w:cs="Times New Roman"/>
          <w:b/>
          <w:color w:val="auto"/>
          <w:sz w:val="24"/>
          <w:szCs w:val="24"/>
          <w:lang w:val="en-US" w:eastAsia="zh-CN"/>
        </w:rPr>
        <w:t>四、环境保护设施调试效果</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1、废气</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施工期间机械设备及车辆非连续运转使用，且单个作业点施工期短、作业量小，废气产生量也较小，采取使用清洁燃料、定期维护保养等措施。采取有效措施封盖，保持车辆清洁、低速行驶；定期洒水。</w:t>
      </w:r>
      <w:r>
        <w:rPr>
          <w:rFonts w:hint="eastAsia" w:ascii="Times New Roman" w:hAnsi="Times New Roman" w:eastAsia="宋体" w:cs="Times New Roman"/>
          <w:b w:val="0"/>
          <w:bCs w:val="0"/>
          <w:color w:val="auto"/>
          <w:sz w:val="24"/>
          <w:szCs w:val="24"/>
          <w:lang w:val="en-US" w:eastAsia="zh-CN"/>
        </w:rPr>
        <w:t>项目施工未对周边大气环境造成影响。</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2、废水</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施工人员在邻近村庄招募，不设临时生活区，故无生活污水产生。</w:t>
      </w:r>
      <w:r>
        <w:rPr>
          <w:rFonts w:hint="eastAsia" w:ascii="Times New Roman" w:hAnsi="Times New Roman" w:eastAsia="宋体" w:cs="Times New Roman"/>
          <w:b w:val="0"/>
          <w:bCs w:val="0"/>
          <w:color w:val="auto"/>
          <w:sz w:val="24"/>
          <w:szCs w:val="24"/>
          <w:lang w:val="en-US" w:eastAsia="zh-CN"/>
        </w:rPr>
        <w:t>施工废水</w:t>
      </w:r>
      <w:r>
        <w:rPr>
          <w:rFonts w:hint="default" w:ascii="Times New Roman" w:hAnsi="Times New Roman" w:eastAsia="宋体" w:cs="Times New Roman"/>
          <w:b w:val="0"/>
          <w:bCs w:val="0"/>
          <w:color w:val="auto"/>
          <w:sz w:val="24"/>
          <w:szCs w:val="24"/>
          <w:lang w:val="en-US" w:eastAsia="zh-CN"/>
        </w:rPr>
        <w:t>主要含泥砂，悬浮物浓度较高，经简易沉淀处理后将回用于施工场地抑尘，不外排。</w:t>
      </w:r>
      <w:r>
        <w:rPr>
          <w:rFonts w:hint="eastAsia" w:ascii="Times New Roman" w:hAnsi="Times New Roman" w:eastAsia="宋体" w:cs="Times New Roman"/>
          <w:b w:val="0"/>
          <w:bCs w:val="0"/>
          <w:color w:val="auto"/>
          <w:sz w:val="24"/>
          <w:szCs w:val="24"/>
          <w:lang w:val="en-US" w:eastAsia="zh-CN"/>
        </w:rPr>
        <w:t>本项目执行了环评及环评批复中要求的关于废水防治的要求，对水环境影响较小，满足验收要求。</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3、厂界噪声</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合理安排施工现场、施工时间、运输路线，选用低噪声设备和工艺；施工区域噪声符合《建筑施工场界环境噪声排放标准》（GB12523-2011）的要求。</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4、固体废物</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施工期产生的生活垃圾及固废均得到了妥善的收集和处置。施工期固废未对环境造成不利影响。</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5、生态环境</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施工期间落实了对河堤的植被修复措施，对当地的植被环境进行了规划，优化了原有的生态植被环境，工程建设和运行未对区域内植物资源造成较大影响。</w:t>
      </w:r>
    </w:p>
    <w:p>
      <w:pPr>
        <w:spacing w:line="480" w:lineRule="exact"/>
        <w:ind w:firstLine="0"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五、工程建设对环境的影响</w:t>
      </w:r>
    </w:p>
    <w:p>
      <w:pPr>
        <w:numPr>
          <w:ilvl w:val="0"/>
          <w:numId w:val="0"/>
        </w:numPr>
        <w:spacing w:line="480" w:lineRule="exact"/>
        <w:ind w:firstLine="480" w:firstLineChars="200"/>
        <w:rPr>
          <w:rFonts w:hint="eastAsia" w:ascii="Times New Roman" w:hAnsi="Times New Roman" w:cs="Times New Roman"/>
          <w:color w:val="auto"/>
          <w:sz w:val="24"/>
          <w:szCs w:val="24"/>
          <w:lang w:eastAsia="zh-CN"/>
        </w:rPr>
      </w:pPr>
      <w:r>
        <w:rPr>
          <w:rFonts w:hint="eastAsia" w:ascii="Times New Roman" w:hAnsi="Times New Roman" w:cs="Times New Roman"/>
          <w:color w:val="auto"/>
          <w:sz w:val="24"/>
          <w:szCs w:val="24"/>
          <w:lang w:eastAsia="zh-CN"/>
        </w:rPr>
        <w:t>工程在建设和运行阶段，落实了各项生态保护及污染防治措施，生态恢复效果较好，各类固体废物得到妥善处置，未发生重大的环境污染事故：工程建设及运行对周边环境产生影响较小。</w:t>
      </w:r>
    </w:p>
    <w:p>
      <w:pPr>
        <w:spacing w:line="480" w:lineRule="exact"/>
        <w:ind w:firstLine="0" w:firstLineChars="0"/>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六、验收结论</w:t>
      </w:r>
    </w:p>
    <w:p>
      <w:pPr>
        <w:numPr>
          <w:ilvl w:val="0"/>
          <w:numId w:val="0"/>
        </w:numPr>
        <w:spacing w:line="480" w:lineRule="exact"/>
        <w:ind w:firstLine="480" w:firstLineChars="200"/>
        <w:rPr>
          <w:rFonts w:hint="default" w:ascii="Times New Roman" w:hAnsi="Times New Roman" w:cs="Times New Roman"/>
          <w:color w:val="auto"/>
          <w:sz w:val="24"/>
          <w:szCs w:val="24"/>
          <w:lang w:eastAsia="zh-CN"/>
        </w:rPr>
      </w:pPr>
      <w:r>
        <w:rPr>
          <w:rFonts w:hint="eastAsia" w:ascii="Times New Roman" w:hAnsi="Times New Roman" w:cs="Times New Roman"/>
          <w:color w:val="auto"/>
          <w:sz w:val="24"/>
          <w:szCs w:val="24"/>
          <w:lang w:eastAsia="zh-CN"/>
        </w:rPr>
        <w:t>本项目落实了环境影响评价制度和环境保护“三同时”制度，落实了环评报告中及河批复意见中所提出的环保措施，工程建设不存在重大的环境影响问题，环境保护工作基本达到了建设项目竣工环境保护验收条件，验收组同意该项目通过工程竣工环境保护验收。</w:t>
      </w:r>
    </w:p>
    <w:p>
      <w:pPr>
        <w:spacing w:line="480" w:lineRule="exact"/>
        <w:ind w:firstLine="0" w:firstLineChars="0"/>
        <w:rPr>
          <w:rFonts w:hint="default" w:ascii="Times New Roman" w:hAnsi="Times New Roman" w:cs="Times New Roman"/>
          <w:b/>
          <w:sz w:val="24"/>
          <w:szCs w:val="24"/>
        </w:rPr>
      </w:pPr>
      <w:r>
        <w:rPr>
          <w:rFonts w:hint="default" w:ascii="Times New Roman" w:hAnsi="Times New Roman" w:cs="Times New Roman"/>
          <w:b/>
          <w:sz w:val="24"/>
          <w:szCs w:val="24"/>
        </w:rPr>
        <w:t>七、验收组成员信息</w:t>
      </w:r>
    </w:p>
    <w:p>
      <w:pPr>
        <w:spacing w:line="480" w:lineRule="exact"/>
        <w:ind w:firstLine="480"/>
        <w:rPr>
          <w:rFonts w:hint="default" w:ascii="Times New Roman" w:hAnsi="Times New Roman" w:cs="Times New Roman"/>
          <w:sz w:val="24"/>
          <w:szCs w:val="24"/>
        </w:rPr>
      </w:pPr>
      <w:r>
        <w:rPr>
          <w:rFonts w:hint="default" w:ascii="Times New Roman" w:hAnsi="Times New Roman" w:cs="Times New Roman"/>
          <w:sz w:val="24"/>
          <w:szCs w:val="24"/>
        </w:rPr>
        <w:t>验收组成员信息见附件。</w:t>
      </w:r>
    </w:p>
    <w:p>
      <w:pPr>
        <w:pStyle w:val="2"/>
        <w:rPr>
          <w:rFonts w:hint="default"/>
          <w:lang w:val="en-US" w:eastAsia="zh-CN"/>
        </w:rPr>
      </w:pPr>
    </w:p>
    <w:p>
      <w:pPr>
        <w:pStyle w:val="3"/>
        <w:rPr>
          <w:rFonts w:hint="default"/>
          <w:lang w:val="en-US" w:eastAsia="zh-CN"/>
        </w:rPr>
      </w:pPr>
    </w:p>
    <w:p>
      <w:pPr>
        <w:spacing w:line="480" w:lineRule="exact"/>
        <w:ind w:firstLine="480"/>
        <w:jc w:val="right"/>
        <w:rPr>
          <w:rFonts w:hint="eastAsia" w:ascii="Times New Roman" w:hAnsi="Times New Roman" w:cs="Times New Roman"/>
          <w:color w:val="auto"/>
          <w:sz w:val="24"/>
          <w:szCs w:val="24"/>
          <w:lang w:eastAsia="zh-CN"/>
        </w:rPr>
      </w:pPr>
      <w:r>
        <w:rPr>
          <w:rFonts w:hint="default" w:ascii="Times New Roman" w:hAnsi="Times New Roman" w:cs="Times New Roman"/>
          <w:bCs/>
          <w:color w:val="auto"/>
          <w:sz w:val="24"/>
          <w:szCs w:val="24"/>
        </w:rPr>
        <w:t xml:space="preserve">北京市延庆区协同发展服务中心 </w:t>
      </w:r>
    </w:p>
    <w:p>
      <w:pPr>
        <w:pStyle w:val="2"/>
        <w:jc w:val="right"/>
        <w:rPr>
          <w:rFonts w:hint="default"/>
          <w:color w:val="FF0000"/>
          <w:lang w:val="en-US" w:eastAsia="zh-CN"/>
        </w:rPr>
      </w:pPr>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FF0000"/>
          <w:sz w:val="24"/>
          <w:szCs w:val="24"/>
          <w:lang w:val="en-US" w:eastAsia="zh-CN"/>
        </w:rPr>
        <w:t xml:space="preserve"> </w:t>
      </w:r>
      <w:r>
        <w:rPr>
          <w:rFonts w:hint="eastAsia" w:ascii="Times New Roman" w:hAnsi="Times New Roman" w:cs="Times New Roman"/>
          <w:color w:val="auto"/>
          <w:sz w:val="24"/>
          <w:szCs w:val="24"/>
          <w:lang w:val="en-US" w:eastAsia="zh-CN"/>
        </w:rPr>
        <w:t xml:space="preserve"> 2023年8月30日</w:t>
      </w:r>
    </w:p>
    <w:p>
      <w:pPr>
        <w:spacing w:line="480" w:lineRule="exact"/>
        <w:ind w:firstLine="480"/>
        <w:rPr>
          <w:rFonts w:hint="default" w:ascii="Times New Roman" w:hAnsi="Times New Roman" w:cs="Times New Roman"/>
          <w:color w:val="FF0000"/>
          <w:sz w:val="24"/>
          <w:szCs w:val="24"/>
          <w:lang w:val="en-US" w:eastAsia="zh-CN"/>
        </w:rPr>
      </w:pPr>
    </w:p>
    <w:p>
      <w:pPr>
        <w:pStyle w:val="2"/>
        <w:rPr>
          <w:rFonts w:hint="default"/>
          <w:color w:val="FF0000"/>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cs="Times New Roman"/>
          <w:color w:val="FF0000"/>
          <w:sz w:val="24"/>
          <w:szCs w:val="24"/>
          <w:lang w:val="en-US" w:eastAsia="zh-CN"/>
        </w:rPr>
        <w:t xml:space="preserve">                        </w:t>
      </w:r>
    </w:p>
    <w:p>
      <w:pPr>
        <w:widowControl/>
        <w:snapToGrid/>
        <w:spacing w:line="240" w:lineRule="auto"/>
        <w:ind w:firstLine="0" w:firstLineChars="0"/>
        <w:jc w:val="left"/>
        <w:rPr>
          <w:rFonts w:hint="default" w:ascii="Times New Roman" w:hAnsi="Times New Roman" w:cs="Times New Roman"/>
          <w:b/>
          <w:sz w:val="28"/>
          <w:szCs w:val="28"/>
        </w:rPr>
      </w:pPr>
      <w:r>
        <w:rPr>
          <w:rFonts w:hint="default" w:ascii="Times New Roman" w:hAnsi="Times New Roman" w:cs="Times New Roman"/>
          <w:b/>
          <w:sz w:val="28"/>
          <w:szCs w:val="28"/>
        </w:rPr>
        <w:t>附件：</w:t>
      </w:r>
    </w:p>
    <w:p>
      <w:pPr>
        <w:ind w:firstLine="0" w:firstLineChars="0"/>
        <w:jc w:val="center"/>
        <w:rPr>
          <w:rFonts w:hint="default" w:ascii="Times New Roman" w:hAnsi="Times New Roman" w:cs="Times New Roman" w:eastAsiaTheme="minorEastAsia"/>
          <w:b/>
          <w:color w:val="auto"/>
          <w:sz w:val="28"/>
          <w:szCs w:val="28"/>
          <w:lang w:eastAsia="zh-CN"/>
        </w:rPr>
      </w:pPr>
      <w:r>
        <w:rPr>
          <w:rFonts w:hint="eastAsia" w:ascii="Times New Roman" w:hAnsi="Times New Roman" w:cs="Times New Roman"/>
          <w:b/>
          <w:color w:val="auto"/>
          <w:sz w:val="28"/>
          <w:szCs w:val="28"/>
          <w:lang w:eastAsia="zh-CN"/>
        </w:rPr>
        <w:t>延庆区京津风沙源治理二期工程2020年项目</w:t>
      </w:r>
    </w:p>
    <w:p>
      <w:pPr>
        <w:ind w:firstLine="0" w:firstLineChars="0"/>
        <w:jc w:val="center"/>
        <w:rPr>
          <w:rFonts w:hint="default" w:ascii="Times New Roman" w:hAnsi="Times New Roman" w:cs="Times New Roman"/>
          <w:b/>
          <w:sz w:val="28"/>
          <w:szCs w:val="28"/>
        </w:rPr>
      </w:pPr>
      <w:r>
        <w:rPr>
          <w:rFonts w:hint="default" w:ascii="Times New Roman" w:hAnsi="Times New Roman" w:cs="Times New Roman"/>
          <w:b/>
          <w:sz w:val="28"/>
          <w:szCs w:val="28"/>
        </w:rPr>
        <w:t>竣工环境保护验收组成员签字表</w:t>
      </w:r>
    </w:p>
    <w:tbl>
      <w:tblPr>
        <w:tblStyle w:val="9"/>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4537"/>
        <w:gridCol w:w="1068"/>
        <w:gridCol w:w="1713"/>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465" w:type="dxa"/>
            <w:gridSpan w:val="5"/>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验收组成员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姓名</w:t>
            </w:r>
          </w:p>
        </w:tc>
        <w:tc>
          <w:tcPr>
            <w:tcW w:w="4537"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单位</w:t>
            </w:r>
          </w:p>
        </w:tc>
        <w:tc>
          <w:tcPr>
            <w:tcW w:w="1068"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职称</w:t>
            </w:r>
          </w:p>
        </w:tc>
        <w:tc>
          <w:tcPr>
            <w:tcW w:w="1713"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电话</w:t>
            </w:r>
          </w:p>
        </w:tc>
        <w:tc>
          <w:tcPr>
            <w:tcW w:w="1148"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exact"/>
          <w:jc w:val="center"/>
        </w:trPr>
        <w:tc>
          <w:tcPr>
            <w:tcW w:w="999"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both"/>
              <w:rPr>
                <w:rFonts w:hint="default" w:ascii="Times New Roman" w:hAnsi="Times New Roman" w:eastAsia="宋体" w:cs="Times New Roman"/>
                <w:color w:val="auto"/>
                <w:sz w:val="24"/>
                <w:szCs w:val="24"/>
                <w:lang w:val="en-US" w:eastAsia="zh-CN"/>
              </w:rPr>
            </w:pPr>
          </w:p>
        </w:tc>
        <w:tc>
          <w:tcPr>
            <w:tcW w:w="4537"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center"/>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highlight w:val="none"/>
                <w:lang w:eastAsia="zh-CN"/>
              </w:rPr>
              <w:t>北京市延庆区协同发展服务中心</w:t>
            </w:r>
          </w:p>
        </w:tc>
        <w:tc>
          <w:tcPr>
            <w:tcW w:w="1068"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both"/>
              <w:rPr>
                <w:rFonts w:hint="eastAsia" w:ascii="Times New Roman" w:hAnsi="Times New Roman" w:cs="Times New Roman" w:eastAsiaTheme="minorEastAsia"/>
                <w:color w:val="auto"/>
                <w:sz w:val="24"/>
                <w:szCs w:val="24"/>
                <w:lang w:eastAsia="zh-CN"/>
              </w:rPr>
            </w:pPr>
          </w:p>
        </w:tc>
        <w:tc>
          <w:tcPr>
            <w:tcW w:w="1713"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center"/>
              <w:rPr>
                <w:rFonts w:hint="default" w:ascii="Times New Roman" w:hAnsi="Times New Roman" w:cs="Times New Roman"/>
                <w:sz w:val="24"/>
                <w:szCs w:val="24"/>
              </w:rPr>
            </w:pPr>
          </w:p>
        </w:tc>
        <w:tc>
          <w:tcPr>
            <w:tcW w:w="114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0" w:firstLineChars="0"/>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color w:val="auto"/>
                <w:sz w:val="24"/>
                <w:szCs w:val="24"/>
                <w:lang w:val="en-US" w:eastAsia="zh-CN"/>
              </w:rPr>
            </w:pPr>
            <w:r>
              <w:rPr>
                <w:rFonts w:hint="default" w:ascii="Times New Roman" w:hAnsi="Times New Roman" w:cs="Times New Roman"/>
                <w:kern w:val="0"/>
                <w:sz w:val="24"/>
                <w:szCs w:val="24"/>
              </w:rPr>
              <w:t>彭应登</w:t>
            </w:r>
          </w:p>
        </w:tc>
        <w:tc>
          <w:tcPr>
            <w:tcW w:w="4537"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color w:val="auto"/>
                <w:sz w:val="24"/>
                <w:szCs w:val="24"/>
                <w:lang w:val="en-US" w:eastAsia="zh-CN"/>
              </w:rPr>
            </w:pPr>
            <w:r>
              <w:rPr>
                <w:rFonts w:hint="eastAsia" w:ascii="Times New Roman" w:hAnsi="Times New Roman" w:cs="Times New Roman" w:eastAsiaTheme="minorEastAsia"/>
                <w:kern w:val="0"/>
                <w:sz w:val="24"/>
                <w:szCs w:val="24"/>
                <w:lang w:eastAsia="zh-CN"/>
              </w:rPr>
              <w:tab/>
            </w:r>
            <w:r>
              <w:rPr>
                <w:rFonts w:hint="eastAsia" w:ascii="Times New Roman" w:hAnsi="Times New Roman" w:cs="Times New Roman" w:eastAsiaTheme="minorEastAsia"/>
                <w:kern w:val="0"/>
                <w:sz w:val="24"/>
                <w:szCs w:val="24"/>
                <w:lang w:eastAsia="zh-CN"/>
              </w:rPr>
              <w:t>国家城市环境污染控制技术研究中心</w:t>
            </w:r>
          </w:p>
        </w:tc>
        <w:tc>
          <w:tcPr>
            <w:tcW w:w="1068"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color w:val="auto"/>
                <w:sz w:val="24"/>
                <w:szCs w:val="24"/>
                <w:lang w:val="en-US" w:eastAsia="zh-CN"/>
              </w:rPr>
            </w:pPr>
            <w:r>
              <w:rPr>
                <w:rFonts w:hint="default" w:ascii="Times New Roman" w:hAnsi="Times New Roman" w:cs="Times New Roman"/>
                <w:kern w:val="0"/>
                <w:sz w:val="24"/>
                <w:szCs w:val="24"/>
              </w:rPr>
              <w:t>教高</w:t>
            </w:r>
          </w:p>
        </w:tc>
        <w:tc>
          <w:tcPr>
            <w:tcW w:w="1713"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default" w:ascii="Times New Roman" w:hAnsi="Times New Roman" w:cs="Times New Roman"/>
                <w:color w:val="auto"/>
                <w:sz w:val="24"/>
                <w:szCs w:val="24"/>
                <w:lang w:val="en-US" w:eastAsia="zh-CN"/>
              </w:rPr>
            </w:pPr>
            <w:r>
              <w:rPr>
                <w:rFonts w:hint="default" w:ascii="Times New Roman" w:hAnsi="Times New Roman" w:cs="Times New Roman"/>
                <w:kern w:val="0"/>
                <w:sz w:val="24"/>
                <w:szCs w:val="24"/>
              </w:rPr>
              <w:t>13301001563</w:t>
            </w:r>
          </w:p>
        </w:tc>
        <w:tc>
          <w:tcPr>
            <w:tcW w:w="114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0" w:firstLineChars="0"/>
              <w:jc w:val="center"/>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sz w:val="24"/>
                <w:szCs w:val="24"/>
                <w:lang w:val="en-US" w:eastAsia="zh-CN"/>
              </w:rPr>
            </w:pPr>
            <w:r>
              <w:rPr>
                <w:rFonts w:hint="eastAsia" w:ascii="Times New Roman" w:hAnsi="Times New Roman" w:cs="Times New Roman"/>
                <w:color w:val="auto"/>
                <w:sz w:val="24"/>
                <w:szCs w:val="24"/>
                <w:lang w:val="en-US" w:eastAsia="zh-CN"/>
              </w:rPr>
              <w:t>于虹</w:t>
            </w:r>
          </w:p>
        </w:tc>
        <w:tc>
          <w:tcPr>
            <w:tcW w:w="4537"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sz w:val="24"/>
                <w:szCs w:val="24"/>
                <w:lang w:val="en-US" w:eastAsia="zh-CN"/>
              </w:rPr>
            </w:pPr>
            <w:r>
              <w:rPr>
                <w:rFonts w:hint="eastAsia" w:ascii="Times New Roman" w:hAnsi="Times New Roman" w:cs="Times New Roman"/>
                <w:color w:val="auto"/>
                <w:sz w:val="24"/>
                <w:szCs w:val="24"/>
                <w:lang w:val="en-US" w:eastAsia="zh-CN"/>
              </w:rPr>
              <w:t>北京市生态环境局（退休）</w:t>
            </w:r>
          </w:p>
        </w:tc>
        <w:tc>
          <w:tcPr>
            <w:tcW w:w="1068"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sz w:val="24"/>
                <w:szCs w:val="24"/>
                <w:lang w:val="en-US" w:eastAsia="zh-CN"/>
              </w:rPr>
            </w:pPr>
            <w:r>
              <w:rPr>
                <w:rFonts w:hint="eastAsia" w:ascii="Times New Roman" w:hAnsi="Times New Roman" w:cs="Times New Roman"/>
                <w:color w:val="auto"/>
                <w:sz w:val="24"/>
                <w:szCs w:val="24"/>
                <w:lang w:val="en-US" w:eastAsia="zh-CN"/>
              </w:rPr>
              <w:t>高工</w:t>
            </w:r>
          </w:p>
        </w:tc>
        <w:tc>
          <w:tcPr>
            <w:tcW w:w="1713"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color w:val="auto"/>
                <w:sz w:val="24"/>
                <w:szCs w:val="24"/>
                <w:lang w:val="en-US" w:eastAsia="zh-CN"/>
              </w:rPr>
              <w:t>13901135748</w:t>
            </w:r>
          </w:p>
        </w:tc>
        <w:tc>
          <w:tcPr>
            <w:tcW w:w="114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0" w:firstLineChars="0"/>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ind w:firstLine="0" w:firstLineChars="0"/>
              <w:jc w:val="center"/>
              <w:rPr>
                <w:rFonts w:hint="default" w:ascii="Times New Roman" w:hAnsi="Times New Roman" w:cs="Times New Roman"/>
                <w:kern w:val="0"/>
                <w:sz w:val="24"/>
                <w:szCs w:val="24"/>
              </w:rPr>
            </w:pPr>
            <w:r>
              <w:rPr>
                <w:rFonts w:hint="default" w:ascii="Times New Roman" w:hAnsi="Times New Roman" w:cs="Times New Roman"/>
                <w:sz w:val="24"/>
                <w:szCs w:val="24"/>
              </w:rPr>
              <w:t>余杰</w:t>
            </w:r>
          </w:p>
        </w:tc>
        <w:tc>
          <w:tcPr>
            <w:tcW w:w="4537" w:type="dxa"/>
            <w:vAlign w:val="center"/>
          </w:tcPr>
          <w:p>
            <w:pPr>
              <w:pStyle w:val="12"/>
              <w:spacing w:line="440" w:lineRule="exact"/>
              <w:ind w:firstLine="0" w:firstLineChars="0"/>
              <w:jc w:val="center"/>
              <w:rPr>
                <w:rFonts w:hint="eastAsia" w:ascii="Times New Roman" w:hAnsi="Times New Roman" w:cs="Times New Roman" w:eastAsiaTheme="minorEastAsia"/>
                <w:kern w:val="0"/>
                <w:sz w:val="24"/>
                <w:szCs w:val="24"/>
                <w:lang w:eastAsia="zh-CN"/>
              </w:rPr>
            </w:pPr>
            <w:r>
              <w:rPr>
                <w:rFonts w:hint="default" w:ascii="Times New Roman" w:hAnsi="Times New Roman" w:cs="Times New Roman"/>
                <w:sz w:val="24"/>
                <w:szCs w:val="24"/>
              </w:rPr>
              <w:t>北京市</w:t>
            </w:r>
            <w:r>
              <w:rPr>
                <w:rFonts w:hint="eastAsia" w:ascii="Times New Roman" w:hAnsi="Times New Roman" w:cs="Times New Roman"/>
                <w:sz w:val="24"/>
                <w:szCs w:val="24"/>
                <w:lang w:eastAsia="zh-CN"/>
              </w:rPr>
              <w:t>生态</w:t>
            </w:r>
            <w:r>
              <w:rPr>
                <w:rFonts w:hint="default" w:ascii="Times New Roman" w:hAnsi="Times New Roman" w:cs="Times New Roman"/>
                <w:sz w:val="24"/>
                <w:szCs w:val="24"/>
              </w:rPr>
              <w:t>环境保护科学研究院</w:t>
            </w:r>
          </w:p>
        </w:tc>
        <w:tc>
          <w:tcPr>
            <w:tcW w:w="1068" w:type="dxa"/>
            <w:vAlign w:val="center"/>
          </w:tcPr>
          <w:p>
            <w:pPr>
              <w:pStyle w:val="12"/>
              <w:spacing w:line="440" w:lineRule="exact"/>
              <w:ind w:firstLine="0" w:firstLineChars="0"/>
              <w:jc w:val="center"/>
              <w:rPr>
                <w:rFonts w:hint="default" w:ascii="Times New Roman" w:hAnsi="Times New Roman" w:cs="Times New Roman"/>
                <w:kern w:val="0"/>
                <w:sz w:val="24"/>
                <w:szCs w:val="24"/>
              </w:rPr>
            </w:pPr>
            <w:r>
              <w:rPr>
                <w:rFonts w:hint="default" w:ascii="Times New Roman" w:hAnsi="Times New Roman" w:cs="Times New Roman"/>
                <w:sz w:val="24"/>
                <w:szCs w:val="24"/>
              </w:rPr>
              <w:t>正高</w:t>
            </w:r>
          </w:p>
        </w:tc>
        <w:tc>
          <w:tcPr>
            <w:tcW w:w="1713" w:type="dxa"/>
            <w:vAlign w:val="center"/>
          </w:tcPr>
          <w:p>
            <w:pPr>
              <w:pStyle w:val="12"/>
              <w:spacing w:line="440" w:lineRule="exact"/>
              <w:ind w:firstLine="0" w:firstLineChars="0"/>
              <w:jc w:val="center"/>
              <w:rPr>
                <w:rFonts w:hint="default" w:ascii="Times New Roman" w:hAnsi="Times New Roman" w:cs="Times New Roman"/>
                <w:kern w:val="0"/>
                <w:sz w:val="24"/>
                <w:szCs w:val="24"/>
              </w:rPr>
            </w:pPr>
            <w:r>
              <w:rPr>
                <w:rFonts w:hint="default" w:ascii="Times New Roman" w:hAnsi="Times New Roman" w:cs="Times New Roman"/>
                <w:sz w:val="24"/>
                <w:szCs w:val="24"/>
                <w:lang w:val="en-US" w:eastAsia="zh-CN"/>
              </w:rPr>
              <w:t>18618289607</w:t>
            </w:r>
          </w:p>
        </w:tc>
        <w:tc>
          <w:tcPr>
            <w:tcW w:w="1148"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kern w:val="0"/>
                <w:sz w:val="24"/>
                <w:szCs w:val="24"/>
              </w:rPr>
            </w:pPr>
          </w:p>
        </w:tc>
        <w:tc>
          <w:tcPr>
            <w:tcW w:w="4537" w:type="dxa"/>
            <w:vAlign w:val="center"/>
          </w:tcPr>
          <w:p>
            <w:pPr>
              <w:pStyle w:val="12"/>
              <w:spacing w:line="440" w:lineRule="exact"/>
              <w:jc w:val="center"/>
              <w:rPr>
                <w:rFonts w:hint="default" w:ascii="Times New Roman" w:hAnsi="Times New Roman" w:cs="Times New Roman"/>
                <w:kern w:val="0"/>
                <w:sz w:val="24"/>
                <w:szCs w:val="24"/>
              </w:rPr>
            </w:pPr>
          </w:p>
        </w:tc>
        <w:tc>
          <w:tcPr>
            <w:tcW w:w="1068" w:type="dxa"/>
            <w:vAlign w:val="center"/>
          </w:tcPr>
          <w:p>
            <w:pPr>
              <w:pStyle w:val="12"/>
              <w:spacing w:line="440" w:lineRule="exact"/>
              <w:jc w:val="center"/>
              <w:rPr>
                <w:rFonts w:hint="default" w:ascii="Times New Roman" w:hAnsi="Times New Roman" w:cs="Times New Roman"/>
                <w:kern w:val="0"/>
                <w:sz w:val="24"/>
                <w:szCs w:val="24"/>
              </w:rPr>
            </w:pPr>
          </w:p>
        </w:tc>
        <w:tc>
          <w:tcPr>
            <w:tcW w:w="1713" w:type="dxa"/>
            <w:vAlign w:val="center"/>
          </w:tcPr>
          <w:p>
            <w:pPr>
              <w:pStyle w:val="12"/>
              <w:spacing w:line="440" w:lineRule="exact"/>
              <w:jc w:val="center"/>
              <w:rPr>
                <w:rFonts w:hint="default" w:ascii="Times New Roman" w:hAnsi="Times New Roman" w:cs="Times New Roman"/>
                <w:kern w:val="0"/>
                <w:sz w:val="24"/>
                <w:szCs w:val="24"/>
              </w:rPr>
            </w:pPr>
          </w:p>
        </w:tc>
        <w:tc>
          <w:tcPr>
            <w:tcW w:w="1148"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sz w:val="24"/>
                <w:szCs w:val="24"/>
              </w:rPr>
            </w:pPr>
          </w:p>
        </w:tc>
        <w:tc>
          <w:tcPr>
            <w:tcW w:w="4537" w:type="dxa"/>
            <w:vAlign w:val="center"/>
          </w:tcPr>
          <w:p>
            <w:pPr>
              <w:pStyle w:val="12"/>
              <w:spacing w:line="440" w:lineRule="exact"/>
              <w:jc w:val="center"/>
              <w:rPr>
                <w:rFonts w:hint="default" w:ascii="Times New Roman" w:hAnsi="Times New Roman" w:cs="Times New Roman"/>
                <w:sz w:val="24"/>
                <w:szCs w:val="24"/>
              </w:rPr>
            </w:pPr>
          </w:p>
        </w:tc>
        <w:tc>
          <w:tcPr>
            <w:tcW w:w="1068" w:type="dxa"/>
            <w:vAlign w:val="center"/>
          </w:tcPr>
          <w:p>
            <w:pPr>
              <w:pStyle w:val="12"/>
              <w:spacing w:line="440" w:lineRule="exact"/>
              <w:jc w:val="center"/>
              <w:rPr>
                <w:rFonts w:hint="default" w:ascii="Times New Roman" w:hAnsi="Times New Roman" w:cs="Times New Roman"/>
                <w:sz w:val="24"/>
                <w:szCs w:val="24"/>
              </w:rPr>
            </w:pPr>
          </w:p>
        </w:tc>
        <w:tc>
          <w:tcPr>
            <w:tcW w:w="1713" w:type="dxa"/>
            <w:vAlign w:val="center"/>
          </w:tcPr>
          <w:p>
            <w:pPr>
              <w:pStyle w:val="12"/>
              <w:spacing w:line="440" w:lineRule="exact"/>
              <w:jc w:val="center"/>
              <w:rPr>
                <w:rFonts w:hint="default" w:ascii="Times New Roman" w:hAnsi="Times New Roman" w:cs="Times New Roman"/>
                <w:sz w:val="24"/>
                <w:szCs w:val="24"/>
              </w:rPr>
            </w:pPr>
          </w:p>
        </w:tc>
        <w:tc>
          <w:tcPr>
            <w:tcW w:w="1148"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sz w:val="24"/>
                <w:szCs w:val="24"/>
              </w:rPr>
            </w:pPr>
          </w:p>
        </w:tc>
        <w:tc>
          <w:tcPr>
            <w:tcW w:w="4537" w:type="dxa"/>
            <w:vAlign w:val="center"/>
          </w:tcPr>
          <w:p>
            <w:pPr>
              <w:pStyle w:val="12"/>
              <w:spacing w:line="440" w:lineRule="exact"/>
              <w:jc w:val="center"/>
              <w:rPr>
                <w:rFonts w:hint="default" w:ascii="Times New Roman" w:hAnsi="Times New Roman" w:cs="Times New Roman"/>
                <w:sz w:val="24"/>
                <w:szCs w:val="24"/>
              </w:rPr>
            </w:pPr>
          </w:p>
        </w:tc>
        <w:tc>
          <w:tcPr>
            <w:tcW w:w="1068" w:type="dxa"/>
            <w:vAlign w:val="center"/>
          </w:tcPr>
          <w:p>
            <w:pPr>
              <w:pStyle w:val="12"/>
              <w:spacing w:line="440" w:lineRule="exact"/>
              <w:jc w:val="center"/>
              <w:rPr>
                <w:rFonts w:hint="default" w:ascii="Times New Roman" w:hAnsi="Times New Roman" w:cs="Times New Roman"/>
                <w:sz w:val="24"/>
                <w:szCs w:val="24"/>
              </w:rPr>
            </w:pPr>
          </w:p>
        </w:tc>
        <w:tc>
          <w:tcPr>
            <w:tcW w:w="1713" w:type="dxa"/>
            <w:vAlign w:val="center"/>
          </w:tcPr>
          <w:p>
            <w:pPr>
              <w:pStyle w:val="12"/>
              <w:spacing w:line="440" w:lineRule="exact"/>
              <w:jc w:val="center"/>
              <w:rPr>
                <w:rFonts w:hint="default" w:ascii="Times New Roman" w:hAnsi="Times New Roman" w:cs="Times New Roman"/>
                <w:sz w:val="24"/>
                <w:szCs w:val="24"/>
              </w:rPr>
            </w:pPr>
          </w:p>
        </w:tc>
        <w:tc>
          <w:tcPr>
            <w:tcW w:w="1148"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sz w:val="24"/>
                <w:szCs w:val="24"/>
              </w:rPr>
            </w:pPr>
          </w:p>
        </w:tc>
        <w:tc>
          <w:tcPr>
            <w:tcW w:w="4537" w:type="dxa"/>
            <w:vAlign w:val="center"/>
          </w:tcPr>
          <w:p>
            <w:pPr>
              <w:pStyle w:val="12"/>
              <w:spacing w:line="440" w:lineRule="exact"/>
              <w:jc w:val="center"/>
              <w:rPr>
                <w:rFonts w:hint="default" w:ascii="Times New Roman" w:hAnsi="Times New Roman" w:cs="Times New Roman"/>
                <w:sz w:val="24"/>
                <w:szCs w:val="24"/>
              </w:rPr>
            </w:pPr>
          </w:p>
        </w:tc>
        <w:tc>
          <w:tcPr>
            <w:tcW w:w="1068" w:type="dxa"/>
            <w:vAlign w:val="center"/>
          </w:tcPr>
          <w:p>
            <w:pPr>
              <w:pStyle w:val="12"/>
              <w:spacing w:line="440" w:lineRule="exact"/>
              <w:jc w:val="center"/>
              <w:rPr>
                <w:rFonts w:hint="default" w:ascii="Times New Roman" w:hAnsi="Times New Roman" w:cs="Times New Roman"/>
                <w:sz w:val="24"/>
                <w:szCs w:val="24"/>
              </w:rPr>
            </w:pPr>
          </w:p>
        </w:tc>
        <w:tc>
          <w:tcPr>
            <w:tcW w:w="1713" w:type="dxa"/>
            <w:vAlign w:val="center"/>
          </w:tcPr>
          <w:p>
            <w:pPr>
              <w:pStyle w:val="12"/>
              <w:spacing w:line="440" w:lineRule="exact"/>
              <w:jc w:val="center"/>
              <w:rPr>
                <w:rFonts w:hint="default" w:ascii="Times New Roman" w:hAnsi="Times New Roman" w:cs="Times New Roman"/>
                <w:sz w:val="24"/>
                <w:szCs w:val="24"/>
              </w:rPr>
            </w:pPr>
          </w:p>
        </w:tc>
        <w:tc>
          <w:tcPr>
            <w:tcW w:w="1148" w:type="dxa"/>
            <w:vAlign w:val="center"/>
          </w:tcPr>
          <w:p>
            <w:pPr>
              <w:pStyle w:val="12"/>
              <w:spacing w:line="440" w:lineRule="exact"/>
              <w:jc w:val="center"/>
              <w:rPr>
                <w:rFonts w:hint="default" w:ascii="Times New Roman" w:hAnsi="Times New Roman" w:cs="Times New Roman"/>
                <w:sz w:val="24"/>
                <w:szCs w:val="24"/>
              </w:rPr>
            </w:pPr>
          </w:p>
        </w:tc>
      </w:tr>
    </w:tbl>
    <w:p>
      <w:pPr>
        <w:ind w:firstLine="0" w:firstLineChars="0"/>
        <w:rPr>
          <w:rFonts w:hint="default" w:ascii="Times New Roman" w:hAnsi="Times New Roman" w:cs="Times New Roman"/>
        </w:rPr>
      </w:pPr>
    </w:p>
    <w:p>
      <w:pPr>
        <w:rPr>
          <w:rFonts w:hint="default" w:ascii="Times New Roman" w:hAnsi="Times New Roman" w:cs="Times New Roman"/>
        </w:rPr>
      </w:pPr>
    </w:p>
    <w:p/>
    <w:p/>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85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5MmQ2MGMxODg2MDkzZjgyZDE5ZDBlOTFiYzllZWIifQ=="/>
  </w:docVars>
  <w:rsids>
    <w:rsidRoot w:val="00000000"/>
    <w:rsid w:val="003532FE"/>
    <w:rsid w:val="007F27CB"/>
    <w:rsid w:val="024617F2"/>
    <w:rsid w:val="025C7268"/>
    <w:rsid w:val="029A7D90"/>
    <w:rsid w:val="031B2C7F"/>
    <w:rsid w:val="05137986"/>
    <w:rsid w:val="053C6EDC"/>
    <w:rsid w:val="05A14F91"/>
    <w:rsid w:val="08713341"/>
    <w:rsid w:val="0A8D4287"/>
    <w:rsid w:val="0B7A69B0"/>
    <w:rsid w:val="0E6C45E4"/>
    <w:rsid w:val="0E8076CD"/>
    <w:rsid w:val="0E8B387B"/>
    <w:rsid w:val="0F3F5F47"/>
    <w:rsid w:val="0F4E7F38"/>
    <w:rsid w:val="0F655282"/>
    <w:rsid w:val="0F827BE2"/>
    <w:rsid w:val="11035FA1"/>
    <w:rsid w:val="12C329EB"/>
    <w:rsid w:val="135E59B1"/>
    <w:rsid w:val="13C0517C"/>
    <w:rsid w:val="14117786"/>
    <w:rsid w:val="14A95C11"/>
    <w:rsid w:val="151439D2"/>
    <w:rsid w:val="1525173B"/>
    <w:rsid w:val="15787ABD"/>
    <w:rsid w:val="162163A6"/>
    <w:rsid w:val="163A1216"/>
    <w:rsid w:val="1695644C"/>
    <w:rsid w:val="169E79F7"/>
    <w:rsid w:val="173043C7"/>
    <w:rsid w:val="174F484D"/>
    <w:rsid w:val="17E05DED"/>
    <w:rsid w:val="18000249"/>
    <w:rsid w:val="1C360552"/>
    <w:rsid w:val="1CA83B2D"/>
    <w:rsid w:val="1CBF2475"/>
    <w:rsid w:val="1CEC2B3E"/>
    <w:rsid w:val="1DC615E1"/>
    <w:rsid w:val="1E2A6014"/>
    <w:rsid w:val="1E326C77"/>
    <w:rsid w:val="1E390005"/>
    <w:rsid w:val="1E74103D"/>
    <w:rsid w:val="1E8079E2"/>
    <w:rsid w:val="1EDF295B"/>
    <w:rsid w:val="1F525822"/>
    <w:rsid w:val="200C59D1"/>
    <w:rsid w:val="20592164"/>
    <w:rsid w:val="20E56222"/>
    <w:rsid w:val="228D0AE1"/>
    <w:rsid w:val="23B343B6"/>
    <w:rsid w:val="23ED78C8"/>
    <w:rsid w:val="26B50445"/>
    <w:rsid w:val="26BE72FA"/>
    <w:rsid w:val="27B01338"/>
    <w:rsid w:val="27C43035"/>
    <w:rsid w:val="29A94291"/>
    <w:rsid w:val="2AD27817"/>
    <w:rsid w:val="2AFE060C"/>
    <w:rsid w:val="2B205BD6"/>
    <w:rsid w:val="2B3B360F"/>
    <w:rsid w:val="2B3C1135"/>
    <w:rsid w:val="2C11611D"/>
    <w:rsid w:val="2C4604BD"/>
    <w:rsid w:val="2CC969F8"/>
    <w:rsid w:val="2CD51841"/>
    <w:rsid w:val="2D5C786C"/>
    <w:rsid w:val="2EDC2A13"/>
    <w:rsid w:val="2F837332"/>
    <w:rsid w:val="2FDB0F1C"/>
    <w:rsid w:val="31774C75"/>
    <w:rsid w:val="32075FF9"/>
    <w:rsid w:val="32D63C1D"/>
    <w:rsid w:val="331D184C"/>
    <w:rsid w:val="339F04B3"/>
    <w:rsid w:val="34433534"/>
    <w:rsid w:val="360867E3"/>
    <w:rsid w:val="364D069A"/>
    <w:rsid w:val="366C0B20"/>
    <w:rsid w:val="37623CD1"/>
    <w:rsid w:val="377F4883"/>
    <w:rsid w:val="38B53977"/>
    <w:rsid w:val="38D17360"/>
    <w:rsid w:val="393A76CA"/>
    <w:rsid w:val="3AC56A51"/>
    <w:rsid w:val="3AE758C0"/>
    <w:rsid w:val="3AEC222F"/>
    <w:rsid w:val="3AFB6916"/>
    <w:rsid w:val="3B911029"/>
    <w:rsid w:val="3D1E68EC"/>
    <w:rsid w:val="3DF338D5"/>
    <w:rsid w:val="3E946E66"/>
    <w:rsid w:val="404B5C4A"/>
    <w:rsid w:val="40CA3013"/>
    <w:rsid w:val="41C537DA"/>
    <w:rsid w:val="42274495"/>
    <w:rsid w:val="43544E16"/>
    <w:rsid w:val="44C63AF1"/>
    <w:rsid w:val="44FD328B"/>
    <w:rsid w:val="4508235C"/>
    <w:rsid w:val="45433394"/>
    <w:rsid w:val="476D294A"/>
    <w:rsid w:val="482C010F"/>
    <w:rsid w:val="48E21116"/>
    <w:rsid w:val="493279A7"/>
    <w:rsid w:val="4A600544"/>
    <w:rsid w:val="4A655B5A"/>
    <w:rsid w:val="4AB12EA2"/>
    <w:rsid w:val="4AFA2471"/>
    <w:rsid w:val="4BA601D9"/>
    <w:rsid w:val="4C5C0E2E"/>
    <w:rsid w:val="4CDB2104"/>
    <w:rsid w:val="4DDC25D7"/>
    <w:rsid w:val="50AF18DD"/>
    <w:rsid w:val="50E46398"/>
    <w:rsid w:val="51BB2504"/>
    <w:rsid w:val="534E7AD3"/>
    <w:rsid w:val="535104B5"/>
    <w:rsid w:val="53B611D5"/>
    <w:rsid w:val="54AD25D8"/>
    <w:rsid w:val="54F55D2D"/>
    <w:rsid w:val="55DF0EB7"/>
    <w:rsid w:val="5622287B"/>
    <w:rsid w:val="567B2ED7"/>
    <w:rsid w:val="57607DD5"/>
    <w:rsid w:val="58690AF4"/>
    <w:rsid w:val="599B50F5"/>
    <w:rsid w:val="59B166C6"/>
    <w:rsid w:val="5B377A28"/>
    <w:rsid w:val="5B922527"/>
    <w:rsid w:val="5C0C052C"/>
    <w:rsid w:val="5C0C22DA"/>
    <w:rsid w:val="5DDB01B6"/>
    <w:rsid w:val="5E4D0988"/>
    <w:rsid w:val="5E7D301B"/>
    <w:rsid w:val="5E967C4D"/>
    <w:rsid w:val="5E9912FB"/>
    <w:rsid w:val="5ED2780B"/>
    <w:rsid w:val="5F5C6959"/>
    <w:rsid w:val="5FDD388C"/>
    <w:rsid w:val="60D40EEC"/>
    <w:rsid w:val="613A70AE"/>
    <w:rsid w:val="62500A46"/>
    <w:rsid w:val="62606EDB"/>
    <w:rsid w:val="62791EFC"/>
    <w:rsid w:val="62976675"/>
    <w:rsid w:val="62B62F9F"/>
    <w:rsid w:val="632D2010"/>
    <w:rsid w:val="63732C3E"/>
    <w:rsid w:val="64446389"/>
    <w:rsid w:val="644A7E43"/>
    <w:rsid w:val="651D10B4"/>
    <w:rsid w:val="652F7039"/>
    <w:rsid w:val="65ED6CD8"/>
    <w:rsid w:val="67A930D3"/>
    <w:rsid w:val="69DB32EB"/>
    <w:rsid w:val="6A7E1191"/>
    <w:rsid w:val="6C6677E4"/>
    <w:rsid w:val="6CBE13CE"/>
    <w:rsid w:val="6D2D0302"/>
    <w:rsid w:val="6D390A55"/>
    <w:rsid w:val="6EC6456A"/>
    <w:rsid w:val="6F26325B"/>
    <w:rsid w:val="6F2F210F"/>
    <w:rsid w:val="6F40431D"/>
    <w:rsid w:val="6FA56875"/>
    <w:rsid w:val="6FD76303"/>
    <w:rsid w:val="702754DC"/>
    <w:rsid w:val="7073427E"/>
    <w:rsid w:val="713A4D9B"/>
    <w:rsid w:val="72031631"/>
    <w:rsid w:val="73243F55"/>
    <w:rsid w:val="73B87FF8"/>
    <w:rsid w:val="73C065D1"/>
    <w:rsid w:val="750758DC"/>
    <w:rsid w:val="774626EC"/>
    <w:rsid w:val="77996CC0"/>
    <w:rsid w:val="77B21B30"/>
    <w:rsid w:val="78686692"/>
    <w:rsid w:val="788E5B56"/>
    <w:rsid w:val="78AC657F"/>
    <w:rsid w:val="78E0091E"/>
    <w:rsid w:val="79701CA2"/>
    <w:rsid w:val="7A2842FD"/>
    <w:rsid w:val="7BB37C24"/>
    <w:rsid w:val="7C71588E"/>
    <w:rsid w:val="7D425704"/>
    <w:rsid w:val="7D4F1BCF"/>
    <w:rsid w:val="7D7358BD"/>
    <w:rsid w:val="7DDF11A4"/>
    <w:rsid w:val="7EF0118F"/>
    <w:rsid w:val="7F121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style>
  <w:style w:type="paragraph" w:styleId="4">
    <w:name w:val="toc 8"/>
    <w:next w:val="1"/>
    <w:qFormat/>
    <w:uiPriority w:val="0"/>
    <w:pPr>
      <w:widowControl w:val="0"/>
      <w:spacing w:line="440" w:lineRule="exact"/>
      <w:ind w:left="2940" w:leftChars="1400" w:firstLine="200" w:firstLineChars="200"/>
      <w:jc w:val="both"/>
    </w:pPr>
    <w:rPr>
      <w:rFonts w:ascii="Arial" w:hAnsi="Arial" w:eastAsia="Calibri" w:cs="Times New Roman"/>
      <w:kern w:val="2"/>
      <w:sz w:val="24"/>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next w:val="4"/>
    <w:qFormat/>
    <w:uiPriority w:val="0"/>
    <w:pPr>
      <w:widowControl/>
      <w:spacing w:before="100" w:beforeAutospacing="1" w:after="100" w:afterAutospacing="1" w:line="440" w:lineRule="exact"/>
      <w:ind w:firstLine="200" w:firstLineChars="200"/>
      <w:jc w:val="left"/>
    </w:pPr>
    <w:rPr>
      <w:rFonts w:ascii="宋体" w:hAnsi="宋体" w:eastAsia="Calibri" w:cs="Times New Roman"/>
      <w:kern w:val="2"/>
      <w:sz w:val="24"/>
      <w:szCs w:val="24"/>
      <w:lang w:val="en-US" w:eastAsia="zh-CN" w:bidi="ar-SA"/>
    </w:rPr>
  </w:style>
  <w:style w:type="table" w:styleId="9">
    <w:name w:val="Table Grid"/>
    <w:qFormat/>
    <w:uiPriority w:val="0"/>
    <w:pPr>
      <w:widowControl w:val="0"/>
      <w:spacing w:line="440" w:lineRule="exact"/>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12">
    <w:name w:val="表格66666"/>
    <w:basedOn w:val="1"/>
    <w:qFormat/>
    <w:uiPriority w:val="0"/>
    <w:pPr>
      <w:ind w:firstLine="0" w:firstLineChars="0"/>
    </w:p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2446</Words>
  <Characters>2576</Characters>
  <Lines>0</Lines>
  <Paragraphs>0</Paragraphs>
  <TotalTime>17</TotalTime>
  <ScaleCrop>false</ScaleCrop>
  <LinksUpToDate>false</LinksUpToDate>
  <CharactersWithSpaces>2649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2023-04-10T08:42:00Z</dcterms:created>
  <dc:creator>Administrator</dc:creator>
  <cp:lastModifiedBy>时光笔墨</cp:lastModifiedBy>
  <dcterms:modified xsi:type="dcterms:W3CDTF">2023-08-30T09:53:27Z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DF7DD0894CF444B49126EAD683857A31_12</vt:lpwstr>
  </property>
</Properties>
</file>